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color w:val="0B0B0B"/>
          <w:sz w:val="44"/>
        </w:rPr>
        <w:t>Pretraining progress</w:t>
      </w:r>
    </w:p>
    <w:p>
      <w:pPr>
        <w:spacing w:after="160" w:before="0"/>
      </w:pPr>
      <w:r>
        <w:rPr>
          <w:b w:val="0"/>
          <w:color w:val="52514E"/>
          <w:sz w:val="20"/>
        </w:rPr>
        <w:t>Production EEG encoder (internal name d10) · status as of Oct 30,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/>
            <w:r>
              <w:rPr>
                <w:b/>
                <w:color w:val="0B0B0B"/>
                <w:sz w:val="36"/>
              </w:rPr>
              <w:t>29.4M</w:t>
            </w:r>
          </w:p>
          <w:p>
            <w:r>
              <w:rPr>
                <w:b/>
                <w:color w:val="0B0B0B"/>
                <w:sz w:val="17"/>
              </w:rPr>
              <w:t>parameters</w:t>
            </w:r>
          </w:p>
          <w:p>
            <w:r>
              <w:rPr>
                <w:b w:val="0"/>
                <w:color w:val="52514E"/>
                <w:sz w:val="15"/>
              </w:rPr>
              <w:t>512-wide, 8-layer transformer that reads up to 64 EEG channels</w:t>
            </w:r>
          </w:p>
        </w:tc>
        <w:tc>
          <w:tcPr>
            <w:tcW w:type="dxa" w:w="2556"/>
          </w:tcPr>
          <w:p>
            <w:r/>
            <w:r>
              <w:rPr>
                <w:b/>
                <w:color w:val="0B0B0B"/>
                <w:sz w:val="36"/>
              </w:rPr>
              <w:t>2.7k h</w:t>
            </w:r>
          </w:p>
          <w:p>
            <w:r>
              <w:rPr>
                <w:b/>
                <w:color w:val="0B0B0B"/>
                <w:sz w:val="17"/>
              </w:rPr>
              <w:t>pretraining data</w:t>
            </w:r>
          </w:p>
          <w:p>
            <w:r>
              <w:rPr>
                <w:b w:val="0"/>
                <w:color w:val="52514E"/>
                <w:sz w:val="15"/>
              </w:rPr>
              <w:t>17 datasets, 5.5k people, no labels used</w:t>
            </w:r>
          </w:p>
        </w:tc>
        <w:tc>
          <w:tcPr>
            <w:tcW w:type="dxa" w:w="2556"/>
          </w:tcPr>
          <w:p>
            <w:r/>
            <w:r>
              <w:rPr>
                <w:b/>
                <w:color w:val="0B0B0B"/>
                <w:sz w:val="36"/>
              </w:rPr>
              <w:t>131k h</w:t>
            </w:r>
          </w:p>
          <w:p>
            <w:r>
              <w:rPr>
                <w:b/>
                <w:color w:val="0B0B0B"/>
                <w:sz w:val="17"/>
              </w:rPr>
              <w:t>training exposure</w:t>
            </w:r>
          </w:p>
          <w:p>
            <w:r>
              <w:rPr>
                <w:b w:val="0"/>
                <w:color w:val="52514E"/>
                <w:sz w:val="15"/>
              </w:rPr>
              <w:t>2,525 unique hours × 52 passes, about 21 hours on 4 GPUs</w:t>
            </w:r>
          </w:p>
        </w:tc>
        <w:tc>
          <w:tcPr>
            <w:tcW w:type="dxa" w:w="2556"/>
          </w:tcPr>
          <w:p>
            <w:r/>
            <w:r>
              <w:rPr>
                <w:b/>
                <w:color w:val="0B0B0B"/>
                <w:sz w:val="36"/>
              </w:rPr>
              <w:t>45 assessments</w:t>
            </w:r>
          </w:p>
          <w:p>
            <w:r>
              <w:rPr>
                <w:b/>
                <w:color w:val="0B0B0B"/>
                <w:sz w:val="17"/>
              </w:rPr>
              <w:t>evaluated</w:t>
            </w:r>
          </w:p>
          <w:p>
            <w:r>
              <w:rPr>
                <w:b w:val="0"/>
                <w:color w:val="52514E"/>
                <w:sz w:val="15"/>
              </w:rPr>
              <w:t>30 of 45 reach AUC 0.70 or higher and 15 reach 0.85 or higher (only 2 of those with 30+ test patients)</w:t>
            </w:r>
          </w:p>
        </w:tc>
      </w:tr>
    </w:tbl>
    <w:p>
      <w:pPr>
        <w:spacing w:after="60" w:before="180"/>
      </w:pPr>
      <w:r>
        <w:rPr>
          <w:b/>
          <w:color w:val="0B0B0B"/>
          <w:sz w:val="24"/>
        </w:rPr>
        <w:t>Where our hours are</w:t>
      </w:r>
    </w:p>
    <w:p>
      <w:r>
        <w:drawing>
          <wp:inline xmlns:a="http://schemas.openxmlformats.org/drawingml/2006/main" xmlns:pic="http://schemas.openxmlformats.org/drawingml/2006/picture">
            <wp:extent cx="6309360" cy="130693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urs_on_hand_oct2026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13069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 w:before="0"/>
      </w:pPr>
      <w:r>
        <w:rPr>
          <w:b w:val="0"/>
          <w:color w:val="2E2D2B"/>
          <w:sz w:val="18"/>
        </w:rPr>
        <w:t>28.8k unique hours of EEG are on hand. The production model has been pretrained on 2.7k of them (9%). The rest is processed or converted and available for the next pretraining run.</w:t>
      </w:r>
    </w:p>
    <w:p>
      <w:pPr>
        <w:spacing w:after="60" w:before="180"/>
      </w:pPr>
      <w:r>
        <w:rPr>
          <w:b/>
          <w:color w:val="0B0B0B"/>
          <w:sz w:val="24"/>
        </w:rPr>
        <w:t>How the model is trained and checked</w:t>
      </w:r>
    </w:p>
    <w:p>
      <w:pPr>
        <w:pStyle w:val="ListBullet"/>
        <w:spacing w:after="50" w:before="0"/>
      </w:pPr>
      <w:r>
        <w:rPr>
          <w:b/>
          <w:color w:val="2E2D2B"/>
          <w:sz w:val="18"/>
        </w:rPr>
        <w:t>Self-supervised pretraining.</w:t>
      </w:r>
      <w:r>
        <w:rPr>
          <w:b w:val="0"/>
          <w:color w:val="2E2D2B"/>
          <w:sz w:val="18"/>
        </w:rPr>
        <w:t xml:space="preserve"> The encoder reads EEG and learns to predict the next 160 ms of signal, plus 171 standard signal features. No diagnoses or other labels are used.</w:t>
      </w:r>
    </w:p>
    <w:p>
      <w:pPr>
        <w:pStyle w:val="ListBullet"/>
        <w:spacing w:after="50" w:before="0"/>
      </w:pPr>
      <w:r>
        <w:rPr>
          <w:b/>
          <w:color w:val="2E2D2B"/>
          <w:sz w:val="18"/>
        </w:rPr>
        <w:t>Checking it on an assessment.</w:t>
      </w:r>
      <w:r>
        <w:rPr>
          <w:b w:val="0"/>
          <w:color w:val="2E2D2B"/>
          <w:sz w:val="18"/>
        </w:rPr>
        <w:t xml:space="preserve"> The encoder is frozen: each recording becomes a vector of numbers, and a light classifier (TabPFN or XGBoost) is trained on labeled patients and scored on held-out patients.</w:t>
      </w:r>
    </w:p>
    <w:p>
      <w:pPr>
        <w:pStyle w:val="ListBullet"/>
        <w:spacing w:after="50" w:before="0"/>
      </w:pPr>
      <w:r>
        <w:rPr>
          <w:b/>
          <w:color w:val="2E2D2B"/>
          <w:sz w:val="18"/>
        </w:rPr>
        <w:t>Fixed, audited test sets.</w:t>
      </w:r>
      <w:r>
        <w:rPr>
          <w:b w:val="0"/>
          <w:color w:val="2E2D2B"/>
          <w:sz w:val="18"/>
        </w:rPr>
        <w:t xml:space="preserve"> Test cohorts stay the same across model versions, every split is checked for patient overlap (76 of 77 clean; the one leaky split, TBI, was retired), and every model gets the same protocol.</w:t>
      </w:r>
    </w:p>
    <w:p>
      <w:pPr>
        <w:pStyle w:val="ListBullet"/>
        <w:spacing w:after="50" w:before="0"/>
      </w:pPr>
      <w:r>
        <w:rPr>
          <w:b/>
          <w:color w:val="2E2D2B"/>
          <w:sz w:val="18"/>
        </w:rPr>
        <w:t>Against standard EEG features.</w:t>
      </w:r>
      <w:r>
        <w:rPr>
          <w:b w:val="0"/>
          <w:color w:val="2E2D2B"/>
          <w:sz w:val="18"/>
        </w:rPr>
        <w:t xml:space="preserve"> Each assessment is also scored with 28 standard EEG features. On the 17 assessments compared head to head, deep learning features lead on 5, EEG features lead on 4 and 8 are ties (a lead is 0.03 AUC or more; mean difference +0.01 AUC).</w:t>
      </w:r>
    </w:p>
    <w:p>
      <w:pPr>
        <w:spacing w:after="60" w:before="180"/>
      </w:pPr>
      <w:r>
        <w:rPr>
          <w:b/>
          <w:color w:val="0B0B0B"/>
          <w:sz w:val="24"/>
        </w:rPr>
        <w:t>Does more pretraining data help? Checks so far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312"/>
            <w:shd w:val="clear" w:color="auto" w:fill="F2F1ED"/>
          </w:tcPr>
          <w:p>
            <w:r/>
            <w:r>
              <w:rPr>
                <w:b/>
                <w:color w:val="0B0B0B"/>
                <w:sz w:val="17"/>
              </w:rPr>
              <w:t>What we changed</w:t>
            </w:r>
          </w:p>
        </w:tc>
        <w:tc>
          <w:tcPr>
            <w:tcW w:type="dxa" w:w="3744"/>
            <w:shd w:val="clear" w:color="auto" w:fill="F2F1ED"/>
          </w:tcPr>
          <w:p>
            <w:r/>
            <w:r>
              <w:rPr>
                <w:b/>
                <w:color w:val="0B0B0B"/>
                <w:sz w:val="17"/>
              </w:rPr>
              <w:t>Result</w:t>
            </w:r>
          </w:p>
        </w:tc>
        <w:tc>
          <w:tcPr>
            <w:tcW w:type="dxa" w:w="3168"/>
            <w:shd w:val="clear" w:color="auto" w:fill="F2F1ED"/>
          </w:tcPr>
          <w:p>
            <w:r/>
            <w:r>
              <w:rPr>
                <w:b/>
                <w:color w:val="0B0B0B"/>
                <w:sz w:val="17"/>
              </w:rPr>
              <w:t>How to read it</w:t>
            </w:r>
          </w:p>
        </w:tc>
      </w:tr>
      <w:tr>
        <w:tc>
          <w:tcPr>
            <w:tcW w:type="dxa" w:w="3312"/>
          </w:tcPr>
          <w:p>
            <w:r/>
            <w:r>
              <w:rPr>
                <w:b/>
                <w:color w:val="2E2D2B"/>
                <w:sz w:val="16"/>
              </w:rPr>
              <w:t>Larger corpus across model generations:</w:t>
            </w:r>
            <w:r>
              <w:rPr>
                <w:b w:val="0"/>
                <w:color w:val="2E2D2B"/>
                <w:sz w:val="16"/>
              </w:rPr>
              <w:t xml:space="preserve"> 665 h (v6_r3) to 3,261 h (d10), 4.9×</w:t>
            </w:r>
          </w:p>
        </w:tc>
        <w:tc>
          <w:tcPr>
            <w:tcW w:type="dxa" w:w="3744"/>
          </w:tcPr>
          <w:p>
            <w:r/>
            <w:r>
              <w:rPr>
                <w:b w:val="0"/>
                <w:color w:val="2E2D2B"/>
                <w:sz w:val="16"/>
              </w:rPr>
              <w:t>Mean AUC change −0.03 (95% CI −0.07 to +0.01) over 19 classification assessments; 9 up, 10 down.</w:t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color w:val="2E2D2B"/>
                <w:sz w:val="16"/>
              </w:rPr>
              <w:t>No measurable gain. Test sets are small (median 20 patients), so the interval is wide.</w:t>
            </w:r>
          </w:p>
        </w:tc>
      </w:tr>
      <w:tr>
        <w:tc>
          <w:tcPr>
            <w:tcW w:type="dxa" w:w="3312"/>
          </w:tcPr>
          <w:p>
            <w:r/>
            <w:r>
              <w:rPr>
                <w:b/>
                <w:color w:val="2E2D2B"/>
                <w:sz w:val="16"/>
              </w:rPr>
              <w:t>Controlled sweep on the d10 data:</w:t>
            </w:r>
            <w:r>
              <w:rPr>
                <w:b w:val="0"/>
                <w:color w:val="2E2D2B"/>
                <w:sz w:val="16"/>
              </w:rPr>
              <w:t xml:space="preserve"> 10%, 25%, 50% and 100% of the pretraining hours (253 to 2,525 h), same 3,000 training steps</w:t>
            </w:r>
          </w:p>
        </w:tc>
        <w:tc>
          <w:tcPr>
            <w:tcW w:type="dxa" w:w="3744"/>
          </w:tcPr>
          <w:p>
            <w:r/>
            <w:r>
              <w:rPr>
                <w:b w:val="0"/>
                <w:color w:val="2E2D2B"/>
                <w:sz w:val="16"/>
              </w:rPr>
              <w:t>Validation loss 0.853, 0.866, 0.841, 0.846.</w:t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color w:val="2E2D2B"/>
                <w:sz w:val="16"/>
              </w:rPr>
              <w:t>Flat within about ±0.01. One seed; the passes over the data fall as hours rise; short runs.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/>
                <w:color w:val="2E2D2B"/>
                <w:sz w:val="16"/>
              </w:rPr>
              <w:t>Add Temple clinical EEG to pretraining:</w:t>
            </w:r>
            <w:r>
              <w:rPr>
                <w:b w:val="0"/>
                <w:color w:val="2E2D2B"/>
                <w:sz w:val="16"/>
              </w:rPr>
              <w:t xml:space="preserve"> 1.65× and 2.8× the hours (3,000-step runs), 31 assessments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2E2D2B"/>
                <w:sz w:val="16"/>
              </w:rPr>
              <w:t>AUC change vs the d10-only run: −0.010 (CI −0.043 to +0.023) and +0.002 (CI −0.037 to +0.043). Two d10-only runs differ by −0.030. Abnormal-EEG and seizure assessments are also flat.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2E2D2B"/>
                <w:sz w:val="16"/>
              </w:rPr>
              <w:t>No effect beyond run-to-run noise. These short runs score well below the production model (for example 0.70 vs 0.95 AUC on an Alzheimer's assessment), so they show direction, not a ceiling.</w:t>
            </w:r>
          </w:p>
        </w:tc>
      </w:tr>
    </w:tbl>
    <w:p>
      <w:pPr>
        <w:spacing w:after="60" w:before="80"/>
      </w:pPr>
      <w:r>
        <w:rPr>
          <w:b w:val="0"/>
          <w:color w:val="2E2D2B"/>
          <w:sz w:val="18"/>
        </w:rPr>
        <w:t>So far, more pretraining data has not improved downstream accuracy in the short tests we have run. A full-length test is next.</w:t>
      </w:r>
    </w:p>
    <w:p>
      <w:pPr>
        <w:spacing w:after="60" w:before="180"/>
      </w:pPr>
      <w:r>
        <w:rPr>
          <w:b/>
          <w:color w:val="0B0B0B"/>
          <w:sz w:val="24"/>
        </w:rPr>
        <w:t>What we are doing next</w:t>
      </w:r>
    </w:p>
    <w:p>
      <w:pPr>
        <w:pStyle w:val="ListBullet"/>
        <w:spacing w:after="50" w:before="0"/>
      </w:pPr>
      <w:r>
        <w:rPr>
          <w:b/>
          <w:color w:val="2E2D2B"/>
          <w:sz w:val="18"/>
        </w:rPr>
        <w:t>Validation loss versus samples seen:</w:t>
      </w:r>
      <w:r>
        <w:rPr>
          <w:b w:val="0"/>
          <w:color w:val="2E2D2B"/>
          <w:sz w:val="18"/>
        </w:rPr>
        <w:t xml:space="preserve"> one model on all the data we have, on the full training schedule, with validation loss recorded throughout; compared with models trained on half and a tenth of the data.</w:t>
      </w:r>
    </w:p>
    <w:p>
      <w:pPr>
        <w:pStyle w:val="ListBullet"/>
        <w:spacing w:after="50" w:before="0"/>
      </w:pPr>
      <w:r>
        <w:rPr>
          <w:b/>
          <w:color w:val="2E2D2B"/>
          <w:sz w:val="18"/>
        </w:rPr>
        <w:t>Then pretrain on the full Temple set</w:t>
      </w:r>
      <w:r>
        <w:rPr>
          <w:b w:val="0"/>
          <w:color w:val="2E2D2B"/>
          <w:sz w:val="18"/>
        </w:rPr>
        <w:t xml:space="preserve"> and re-run the frozen-feature evaluation (XGBoost and TabPFN) on the same 45 assessments.</w:t>
      </w:r>
    </w:p>
    <w:p>
      <w:pPr>
        <w:pStyle w:val="ListBullet"/>
        <w:spacing w:after="50" w:before="0"/>
      </w:pPr>
      <w:r>
        <w:rPr>
          <w:b/>
          <w:color w:val="2E2D2B"/>
          <w:sz w:val="18"/>
        </w:rPr>
        <w:t>In parallel:</w:t>
      </w:r>
      <w:r>
        <w:rPr>
          <w:b w:val="0"/>
          <w:color w:val="2E2D2B"/>
          <w:sz w:val="18"/>
        </w:rPr>
        <w:t xml:space="preserve"> a cross-dataset preprocessing audit (reference, units, normalization).</w:t>
      </w:r>
    </w:p>
    <w:p>
      <w:pPr>
        <w:spacing w:after="0" w:before="160"/>
      </w:pPr>
      <w:r>
        <w:rPr>
          <w:b w:val="0"/>
          <w:color w:val="898781"/>
          <w:sz w:val="14"/>
        </w:rPr>
        <w:t>Hours are unique EEG time from file headers (no augmented copies or overlapping windows). Training exposure = unique training hours × passes over them. AUC and the assessments are defined in the slide “How to read these slides”. Sources: Oct 2026 board figures; Temple screening results, Oct 28 2026.</w:t>
      </w:r>
    </w:p>
    <w:sectPr w:rsidR="00FC693F" w:rsidRPr="0006063C" w:rsidSect="00034616">
      <w:pgSz w:w="12240" w:h="15840"/>
      <w:pgMar w:top="864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